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Staging Manifest — Booking #2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Room</w:t>
            </w:r>
          </w:p>
        </w:tc>
        <w:tc>
          <w:tcPr>
            <w:tcW w:type="dxa" w:w="2160"/>
          </w:tcPr>
          <w:p>
            <w:r>
              <w:t>Item</w:t>
            </w:r>
          </w:p>
        </w:tc>
        <w:tc>
          <w:tcPr>
            <w:tcW w:type="dxa" w:w="2160"/>
          </w:tcPr>
          <w:p>
            <w:r>
              <w:t>Category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</w:tr>
      <w:tr>
        <w:tc>
          <w:tcPr>
            <w:tcW w:type="dxa" w:w="2160"/>
          </w:tcPr>
          <w:p>
            <w:r>
              <w:t>General</w:t>
            </w:r>
          </w:p>
        </w:tc>
        <w:tc>
          <w:tcPr>
            <w:tcW w:type="dxa" w:w="2160"/>
          </w:tcPr>
          <w:p>
            <w:r>
              <w:t>Marble Table</w:t>
            </w:r>
          </w:p>
        </w:tc>
        <w:tc>
          <w:tcPr>
            <w:tcW w:type="dxa" w:w="2160"/>
          </w:tcPr>
          <w:p>
            <w:r>
              <w:t>Tables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