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Staging Manifest — Booking #3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Room</w:t>
            </w:r>
          </w:p>
        </w:tc>
        <w:tc>
          <w:tcPr>
            <w:tcW w:type="dxa" w:w="2160"/>
          </w:tcPr>
          <w:p>
            <w:r>
              <w:t>Item</w:t>
            </w:r>
          </w:p>
        </w:tc>
        <w:tc>
          <w:tcPr>
            <w:tcW w:type="dxa" w:w="2160"/>
          </w:tcPr>
          <w:p>
            <w:r>
              <w:t>Category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</w:tr>
      <w:tr>
        <w:tc>
          <w:tcPr>
            <w:tcW w:type="dxa" w:w="2160"/>
          </w:tcPr>
          <w:p>
            <w:r>
              <w:t>General</w:t>
            </w:r>
          </w:p>
        </w:tc>
        <w:tc>
          <w:tcPr>
            <w:tcW w:type="dxa" w:w="2160"/>
          </w:tcPr>
          <w:p>
            <w:r>
              <w:t>Brown folding chair</w:t>
            </w:r>
          </w:p>
        </w:tc>
        <w:tc>
          <w:tcPr>
            <w:tcW w:type="dxa" w:w="2160"/>
          </w:tcPr>
          <w:p>
            <w:r>
              <w:t>seat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General</w:t>
            </w:r>
          </w:p>
        </w:tc>
        <w:tc>
          <w:tcPr>
            <w:tcW w:type="dxa" w:w="2160"/>
          </w:tcPr>
          <w:p>
            <w:r>
              <w:t>Floor Lamp</w:t>
            </w:r>
          </w:p>
        </w:tc>
        <w:tc>
          <w:tcPr>
            <w:tcW w:type="dxa" w:w="2160"/>
          </w:tcPr>
          <w:p>
            <w:r>
              <w:t>Lighting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Living Room</w:t>
            </w:r>
          </w:p>
        </w:tc>
        <w:tc>
          <w:tcPr>
            <w:tcW w:type="dxa" w:w="2160"/>
          </w:tcPr>
          <w:p>
            <w:r>
              <w:t>Velvet Sofa</w:t>
            </w:r>
          </w:p>
        </w:tc>
        <w:tc>
          <w:tcPr>
            <w:tcW w:type="dxa" w:w="2160"/>
          </w:tcPr>
          <w:p>
            <w:r>
              <w:t>Seating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